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управление инвестициями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управление инвестициями»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«Анализ и управление инвестициями».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управление инвестициями»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«Анализ и управление инвестициями»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046.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299.5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both"/>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both"/>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both"/>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both"/>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 рентабельности</w:t>
            </w:r>
          </w:p>
          <w:p>
            <w:pPr>
              <w:jc w:val="both"/>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Марковица</w:t>
            </w:r>
          </w:p>
          <w:p>
            <w:pPr>
              <w:jc w:val="both"/>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both"/>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both"/>
              <w:spacing w:after="0" w:line="240" w:lineRule="auto"/>
              <w:rPr>
                <w:sz w:val="24"/>
                <w:szCs w:val="24"/>
              </w:rPr>
            </w:pPr>
            <w:r>
              <w:rPr>
                <w:rFonts w:ascii="Times New Roman" w:hAnsi="Times New Roman" w:cs="Times New Roman"/>
                <w:color w:val="#000000"/>
                <w:sz w:val="24"/>
                <w:szCs w:val="24"/>
              </w:rPr>
              <w:t> Портфель и дюрация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управление инвестициями»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2023-2024_ФГОС3++2023_Маг-ЗФО-ФиК(УФиИ)(23)_plx_Анализ и управление инвестициями</dc:title>
  <dc:creator>FastReport.NET</dc:creator>
</cp:coreProperties>
</file>